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de-DE"/>
        </w:rPr>
        <w:t xml:space="preserve">EasyMailArchive: Beschreibung des Archivierungsverfahrens</w:t>
      </w:r>
    </w:p>
    <w:p>
      <w:pPr>
        <w:pStyle w:val="Subtitle"/>
      </w:pPr>
      <w:r>
        <w:rPr>
          <w:lang w:val="de-DE"/>
        </w:rPr>
        <w:t xml:space="preserve">Zur Übernahme in die Verfahrensdokumentation des Kunden</w:t>
      </w:r>
    </w:p>
    <w:p>
      <w:pPr>
        <w:pStyle w:val="FirstParagraph"/>
      </w:pPr>
      <w:r>
        <w:rPr>
          <w:b/>
          <w:bCs/>
          <w:lang w:val="de-DE"/>
        </w:rPr>
        <w:t xml:space="preserve">Anbieter:</w:t>
      </w:r>
      <w:r>
        <w:rPr>
          <w:lang w:val="de-DE"/>
        </w:rPr>
        <w:t xml:space="preserve"> </w:t>
      </w:r>
      <w:r>
        <w:rPr>
          <w:lang w:val="de-DE"/>
        </w:rPr>
        <w:t xml:space="preserve">Becker-Software, Inhaber Martin Becker, 29351 Eldingen, Deutschland</w:t>
      </w:r>
      <w:r>
        <w:br/>
      </w:r>
      <w:r>
        <w:rPr>
          <w:b/>
          <w:bCs/>
          <w:lang w:val="de-DE"/>
        </w:rPr>
        <w:t xml:space="preserve">Produkt:</w:t>
      </w:r>
      <w:r>
        <w:rPr>
          <w:lang w:val="de-DE"/>
        </w:rPr>
        <w:t xml:space="preserve"> </w:t>
      </w:r>
      <w:r>
        <w:rPr>
          <w:lang w:val="de-DE"/>
        </w:rPr>
        <w:t xml:space="preserve">EasyMailArchive, Cloud-Dienst zur Archivierung geschäftlicher E-Mails</w:t>
      </w:r>
      <w:r>
        <w:br/>
      </w:r>
      <w:r>
        <w:rPr>
          <w:b/>
          <w:bCs/>
          <w:lang w:val="de-DE"/>
        </w:rPr>
        <w:t xml:space="preserve">Stand:</w:t>
      </w:r>
      <w:r>
        <w:rPr>
          <w:lang w:val="de-DE"/>
        </w:rPr>
        <w:t xml:space="preserve"> </w:t>
      </w:r>
      <w:r>
        <w:rPr>
          <w:lang w:val="de-DE"/>
        </w:rPr>
        <w:t xml:space="preserve">Oktober 2026</w:t>
      </w:r>
    </w:p>
    <w:bookmarkStart w:id="9" w:name="_erfassung"/>
    <w:p>
      <w:pPr>
        <w:pStyle w:val="Heading2"/>
      </w:pPr>
      <w:r>
        <w:rPr>
          <w:lang w:val="de-DE"/>
        </w:rPr>
        <w:t xml:space="preserve">Erfassung</w:t>
      </w:r>
    </w:p>
    <w:p>
      <w:pPr>
        <w:pStyle w:val="FirstParagraph"/>
      </w:pPr>
      <w:r>
        <w:rPr>
          <w:lang w:val="de-DE"/>
        </w:rPr>
        <w:t xml:space="preserve">Der Mailserver des Kunden sendet jede E-Mail per BCC- oder Journalregel an eine kundeneigene Relay-Adresse (kennung-token@smtp.easymailarchive.com). Unterstützt werden Microsoft 365 und Exchange Online, Exchange Server ab 2013, Google Workspace, Postfix und Mailcow. Vorhandene E-Mails lassen sich per IMAP, aus Microsoft 365 und aus Google Workspace importieren. Bereits archivierte E-Mails werden erkannt und nicht doppelt gespeichert.</w:t>
      </w:r>
    </w:p>
    <w:bookmarkEnd w:id="9"/>
    <w:bookmarkStart w:id="10" w:name="_speicherung"/>
    <w:p>
      <w:pPr>
        <w:pStyle w:val="Heading2"/>
      </w:pPr>
      <w:r>
        <w:rPr>
          <w:lang w:val="de-DE"/>
        </w:rPr>
        <w:t xml:space="preserve">Speicherung</w:t>
      </w:r>
    </w:p>
    <w:p>
      <w:pPr>
        <w:pStyle w:val="FirstParagraph"/>
      </w:pPr>
      <w:r>
        <w:rPr>
          <w:lang w:val="de-DE"/>
        </w:rPr>
        <w:t xml:space="preserve">Jede E-Mail wird im Originalformat mit Kopfzeilen und Anhängen gespeichert, mit einer SHA-256-Prüfsumme je Nachricht. Die Daten sind im Ruhezustand mit AES-256 und einem eigenen Schlüssel pro Kunde verschlüsselt und werden über TLS übertragen. Jeder Kunde hat eine eigene Datenbank und einen eigenen Speicherbereich im Rechenzentrum der WITT AG in Deutschland.</w:t>
      </w:r>
    </w:p>
    <w:bookmarkEnd w:id="10"/>
    <w:bookmarkStart w:id="11" w:name="_194c28aa8e5f3fa743a73d713659c5f930b9fde"/>
    <w:p>
      <w:pPr>
        <w:pStyle w:val="Heading2"/>
      </w:pPr>
      <w:r>
        <w:rPr>
          <w:lang w:val="de-DE"/>
        </w:rPr>
        <w:t xml:space="preserve">Unveränderbarkeit und Löschung</w:t>
      </w:r>
    </w:p>
    <w:p>
      <w:pPr>
        <w:pStyle w:val="FirstParagraph"/>
      </w:pPr>
      <w:r>
        <w:rPr>
          <w:lang w:val="de-DE"/>
        </w:rPr>
        <w:t xml:space="preserve">Einzelne E-Mails können weder geändert noch gelöscht werden, auch nicht von Administratoren. Gelöscht wird ausschließlich automatisch nach Ablauf der vom Kunden festgelegten Aufbewahrungsfrist. Fristen in ganzen Jahren laufen bis zum 31. Dezember. Ein Legal Hold (ab Tarif Business) verhindert die Löschung. Jeder Löschlauf wird protokolliert.</w:t>
      </w:r>
    </w:p>
    <w:bookmarkEnd w:id="11"/>
    <w:bookmarkStart w:id="12" w:name="_2234898cd6f1dc08a9321e6ebd387fdb86fed90"/>
    <w:p>
      <w:pPr>
        <w:pStyle w:val="Heading2"/>
      </w:pPr>
      <w:r>
        <w:rPr>
          <w:lang w:val="de-DE"/>
        </w:rPr>
        <w:t xml:space="preserve">Zugriff und Protokollierung</w:t>
      </w:r>
    </w:p>
    <w:p>
      <w:pPr>
        <w:pStyle w:val="FirstParagraph"/>
      </w:pPr>
      <w:r>
        <w:rPr>
          <w:lang w:val="de-DE"/>
        </w:rPr>
        <w:t xml:space="preserve">Anmeldung mit Passwort und Zwei-Faktor-Anmeldung (TOTP) oder per Single Sign-on (OIDC). Rollen: Admin, Auditor (nur lesend) und Benutzer. Jede Aktion im Archiv wird im Audit-Log protokolliert, das als CSV exportiert werden kann.</w:t>
      </w:r>
    </w:p>
    <w:bookmarkEnd w:id="12"/>
    <w:bookmarkStart w:id="13" w:name="_9734a14ba8ed1f0d87bf6a23a23efe8689b187a"/>
    <w:p>
      <w:pPr>
        <w:pStyle w:val="Heading2"/>
      </w:pPr>
      <w:r>
        <w:rPr>
          <w:lang w:val="de-DE"/>
        </w:rPr>
        <w:t xml:space="preserve">Auswertung und Export</w:t>
      </w:r>
    </w:p>
    <w:p>
      <w:pPr>
        <w:pStyle w:val="FirstParagraph"/>
      </w:pPr>
      <w:r>
        <w:rPr>
          <w:lang w:val="de-DE"/>
        </w:rPr>
        <w:t xml:space="preserve">Volltextsuche im Nachrichtentext sowie nach Absender, Empfänger, Betreff, Zeitraum und Text von Textanhängen. Export im Originalformat EML (einzeln und gesammelt) oder als PDF mit SHA-256-Prüfsummen, ab Tarif Business digital signiert. Damit sind die Zugriffsarten Z1 (Prüferkonto mit Rolle Auditor), Z2 und Z3 nach § 147 Abs. 6 AO umsetzbar.</w:t>
      </w:r>
    </w:p>
    <w:bookmarkEnd w:id="13"/>
    <w:bookmarkStart w:id="14" w:name="_vertragliches"/>
    <w:p>
      <w:pPr>
        <w:pStyle w:val="Heading2"/>
      </w:pPr>
      <w:r>
        <w:rPr>
          <w:lang w:val="de-DE"/>
        </w:rPr>
        <w:t xml:space="preserve">Vertragliches</w:t>
      </w:r>
    </w:p>
    <w:p>
      <w:pPr>
        <w:pStyle w:val="FirstParagraph"/>
      </w:pPr>
      <w:r>
        <w:rPr>
          <w:lang w:val="de-DE"/>
        </w:rPr>
        <w:t xml:space="preserve">Vertrag zur Auftragsverarbeitung nach Art. 28 DSGVO mit Beschreibung der technischen und organisatorischen Maßnahmen: easymailarchive.de/avv.</w:t>
      </w:r>
    </w:p>
    <w:p>
      <w:r>
        <w:pict>
          <v:rect style="width:0;height:1.5pt" o:hralign="center" o:hrstd="t" o:hr="t"/>
        </w:pict>
      </w:r>
    </w:p>
    <w:p>
      <w:pPr>
        <w:pStyle w:val="FirstParagraph"/>
      </w:pPr>
      <w:r>
        <w:rPr>
          <w:i/>
          <w:iCs/>
          <w:lang w:val="de-DE"/>
        </w:rPr>
        <w:t xml:space="preserve">Diese Beschreibung gibt den Funktionsumfang wieder und ist keine Rechts- oder Steuerberatung. Eine amtliche GoBD-Zertifizierung für Software gibt es nicht.</w:t>
      </w:r>
    </w:p>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EasyMailArchive: Beschreibung des Archivierungsverfahrens</dc:title>
  <dc:creator/>
  <dc:language>de-DE</dc:language>
  <cp:keywords/>
  <dcterms:created xsi:type="dcterms:W3CDTF">2026-10-17T20:35:39Z</dcterms:created>
  <dcterms:modified xsi:type="dcterms:W3CDTF">2026-10-17T20:35:39Z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Zur Übernahme in die Verfahrensdokumentation des Kunden</vt:lpwstr>
  </property>
</Properties>
</file>