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de-DE"/>
        </w:rPr>
        <w:t xml:space="preserve">Verfahrensdokumentation E-Mail-Archivierung</w:t>
      </w:r>
    </w:p>
    <w:p>
      <w:pPr>
        <w:pStyle w:val="Subtitle"/>
      </w:pPr>
      <w:r>
        <w:rPr>
          <w:lang w:val="de-DE"/>
        </w:rPr>
        <w:t xml:space="preserve">Vorlage für Unternehmen, die EasyMailArchive nutzen</w:t>
      </w:r>
    </w:p>
    <w:p>
      <w:pPr>
        <w:pStyle w:val="FirstParagraph"/>
      </w:pPr>
      <w:r>
        <w:rPr>
          <w:b/>
          <w:bCs/>
          <w:lang w:val="de-DE"/>
        </w:rPr>
        <w:t xml:space="preserve">Unternehmen:</w:t>
      </w:r>
      <w:r>
        <w:rPr>
          <w:lang w:val="de-DE"/>
        </w:rPr>
        <w:t xml:space="preserve"> </w:t>
      </w:r>
      <w:r>
        <w:rPr>
          <w:lang w:val="de-DE"/>
        </w:rPr>
        <w:t xml:space="preserve">[Firma, Rechtsform, Anschrift]</w:t>
      </w:r>
      <w:r>
        <w:br/>
      </w:r>
      <w:r>
        <w:rPr>
          <w:b/>
          <w:bCs/>
          <w:lang w:val="de-DE"/>
        </w:rPr>
        <w:t xml:space="preserve">Verantwortlich:</w:t>
      </w:r>
      <w:r>
        <w:rPr>
          <w:lang w:val="de-DE"/>
        </w:rPr>
        <w:t xml:space="preserve"> </w:t>
      </w:r>
      <w:r>
        <w:rPr>
          <w:lang w:val="de-DE"/>
        </w:rPr>
        <w:t xml:space="preserve">[Name, Funktion]</w:t>
      </w:r>
      <w:r>
        <w:br/>
      </w:r>
      <w:r>
        <w:rPr>
          <w:b/>
          <w:bCs/>
          <w:lang w:val="de-DE"/>
        </w:rPr>
        <w:t xml:space="preserve">Stand:</w:t>
      </w:r>
      <w:r>
        <w:rPr>
          <w:lang w:val="de-DE"/>
        </w:rPr>
        <w:t xml:space="preserve"> </w:t>
      </w:r>
      <w:r>
        <w:rPr>
          <w:lang w:val="de-DE"/>
        </w:rPr>
        <w:t xml:space="preserve">[Datum]</w:t>
      </w:r>
      <w:r>
        <w:rPr>
          <w:lang w:val="de-DE"/>
        </w:rPr>
        <w:t xml:space="preserve"> </w:t>
      </w:r>
      <w:r>
        <w:rPr>
          <w:b/>
          <w:bCs/>
          <w:lang w:val="de-DE"/>
        </w:rPr>
        <w:t xml:space="preserve">Version:</w:t>
      </w:r>
      <w:r>
        <w:rPr>
          <w:lang w:val="de-DE"/>
        </w:rPr>
        <w:t xml:space="preserve"> </w:t>
      </w:r>
      <w:r>
        <w:rPr>
          <w:lang w:val="de-DE"/>
        </w:rPr>
        <w:t xml:space="preserve">[1.0]</w:t>
      </w:r>
    </w:p>
    <w:p>
      <w:pPr>
        <w:pStyle w:val="BodyText"/>
      </w:pPr>
      <w:r>
        <w:rPr>
          <w:lang w:val="de-DE"/>
        </w:rPr>
        <w:t xml:space="preserve">Diese Vorlage beschreibt das Verfahren zur Archivierung geschäftlicher E-Mails mit EasyMailArchive. Die Abschnitte zur Software sind vorausgefüllt. Ergänzen Sie alle Stellen in eckigen Klammern, streichen Sie, was bei Ihnen nicht zutrifft, und bewahren Sie jede Fassung auf. Grundlage sind die GoBD (BMF-Schreiben vom 28. November 2019, Rz. 151 bis 155), § 257 HGB und § 147 AO.</w:t>
      </w:r>
    </w:p>
    <w:bookmarkStart w:id="13" w:name="_dbf1a1809ca0ec44b1e83823f6554bd643b04d0"/>
    <w:p>
      <w:pPr>
        <w:pStyle w:val="Heading1"/>
      </w:pPr>
      <w:r>
        <w:rPr>
          <w:lang w:val="de-DE"/>
        </w:rPr>
        <w:t xml:space="preserve">1. Allgemeine Beschreibung</w:t>
      </w:r>
    </w:p>
    <w:bookmarkStart w:id="9" w:name="_zweck"/>
    <w:p>
      <w:pPr>
        <w:pStyle w:val="Heading2"/>
      </w:pPr>
      <w:r>
        <w:rPr>
          <w:lang w:val="de-DE"/>
        </w:rPr>
        <w:t xml:space="preserve">1.1 Zweck</w:t>
      </w:r>
    </w:p>
    <w:p>
      <w:pPr>
        <w:pStyle w:val="FirstParagraph"/>
      </w:pPr>
      <w:r>
        <w:rPr>
          <w:lang w:val="de-DE"/>
        </w:rPr>
        <w:t xml:space="preserve">[Firma] archiviert geschäftliche E-Mails, die Handels- oder Geschäftsbriefe, Buchungsbelege oder sonstige steuerlich relevante Unterlagen sind, vollständig, unveränderbar und auswertbar für die Dauer der gesetzlichen Aufbewahrungsfristen.</w:t>
      </w:r>
    </w:p>
    <w:bookmarkEnd w:id="9"/>
    <w:bookmarkStart w:id="10" w:name="_aufbewahrungsfristen"/>
    <w:p>
      <w:pPr>
        <w:pStyle w:val="Heading2"/>
      </w:pPr>
      <w:r>
        <w:rPr>
          <w:lang w:val="de-DE"/>
        </w:rPr>
        <w:t xml:space="preserve">1.2 Aufbewahrungsfristen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DE"/>
              </w:rPr>
              <w:t xml:space="preserve">Unterlage</w:t>
            </w:r>
          </w:p>
        </w:tc>
        <w:tc>
          <w:tcPr/>
          <w:p>
            <w:pPr>
              <w:pStyle w:val="Compact"/>
            </w:pPr>
            <w:r>
              <w:rPr>
                <w:lang w:val="de-DE"/>
              </w:rPr>
              <w:t xml:space="preserve">Frist</w:t>
            </w:r>
          </w:p>
        </w:tc>
        <w:tc>
          <w:tcPr/>
          <w:p>
            <w:pPr>
              <w:pStyle w:val="Compact"/>
            </w:pPr>
            <w:r>
              <w:rPr>
                <w:lang w:val="de-DE"/>
              </w:rPr>
              <w:t xml:space="preserve">Rechtsgrundlage</w:t>
            </w:r>
          </w:p>
        </w:tc>
      </w:tr>
      <w:tr>
        <w:tc>
          <w:tcPr/>
          <w:p>
            <w:pPr>
              <w:pStyle w:val="Compact"/>
            </w:pPr>
            <w:r>
              <w:rPr>
                <w:lang w:val="de-DE"/>
              </w:rPr>
              <w:t xml:space="preserve">Handels- und Geschäftsbriefe</w:t>
            </w:r>
          </w:p>
        </w:tc>
        <w:tc>
          <w:tcPr/>
          <w:p>
            <w:pPr>
              <w:pStyle w:val="Compact"/>
            </w:pPr>
            <w:r>
              <w:rPr>
                <w:lang w:val="de-DE"/>
              </w:rPr>
              <w:t xml:space="preserve">6 Jahre</w:t>
            </w:r>
          </w:p>
        </w:tc>
        <w:tc>
          <w:tcPr/>
          <w:p>
            <w:pPr>
              <w:pStyle w:val="Compact"/>
            </w:pPr>
            <w:r>
              <w:rPr>
                <w:lang w:val="de-DE"/>
              </w:rPr>
              <w:t xml:space="preserve">§ 257 Abs. 4 HGB, § 147 Abs. 3 AO</w:t>
            </w:r>
          </w:p>
        </w:tc>
      </w:tr>
      <w:tr>
        <w:tc>
          <w:tcPr/>
          <w:p>
            <w:pPr>
              <w:pStyle w:val="Compact"/>
            </w:pPr>
            <w:r>
              <w:rPr>
                <w:lang w:val="de-DE"/>
              </w:rPr>
              <w:t xml:space="preserve">Buchungsbelege, z. B. Rechnungen</w:t>
            </w:r>
          </w:p>
        </w:tc>
        <w:tc>
          <w:tcPr/>
          <w:p>
            <w:pPr>
              <w:pStyle w:val="Compact"/>
            </w:pPr>
            <w:r>
              <w:rPr>
                <w:lang w:val="de-DE"/>
              </w:rPr>
              <w:t xml:space="preserve">8 Jahre</w:t>
            </w:r>
          </w:p>
        </w:tc>
        <w:tc>
          <w:tcPr/>
          <w:p>
            <w:pPr>
              <w:pStyle w:val="Compact"/>
            </w:pPr>
            <w:r>
              <w:rPr>
                <w:lang w:val="de-DE"/>
              </w:rPr>
              <w:t xml:space="preserve">§ 257 Abs. 4 HGB, § 147 Abs. 3 AO, § 14b UStG</w:t>
            </w:r>
          </w:p>
        </w:tc>
      </w:tr>
      <w:tr>
        <w:tc>
          <w:tcPr/>
          <w:p>
            <w:pPr>
              <w:pStyle w:val="Compact"/>
            </w:pPr>
            <w:r>
              <w:rPr>
                <w:lang w:val="de-DE"/>
              </w:rPr>
              <w:t xml:space="preserve">Bücher, Jahresabschlüsse, Organisationsunterlagen</w:t>
            </w:r>
          </w:p>
        </w:tc>
        <w:tc>
          <w:tcPr/>
          <w:p>
            <w:pPr>
              <w:pStyle w:val="Compact"/>
            </w:pPr>
            <w:r>
              <w:rPr>
                <w:lang w:val="de-DE"/>
              </w:rPr>
              <w:t xml:space="preserve">10 Jahre</w:t>
            </w:r>
          </w:p>
        </w:tc>
        <w:tc>
          <w:tcPr/>
          <w:p>
            <w:pPr>
              <w:pStyle w:val="Compact"/>
            </w:pPr>
            <w:r>
              <w:rPr>
                <w:lang w:val="de-DE"/>
              </w:rPr>
              <w:t xml:space="preserve">§ 257 Abs. 4 HGB, § 147 Abs. 3 AO</w:t>
            </w:r>
          </w:p>
        </w:tc>
      </w:tr>
    </w:tbl>
    <w:p>
      <w:pPr>
        <w:pStyle w:val="FirstParagraph"/>
      </w:pPr>
      <w:r>
        <w:rPr>
          <w:lang w:val="de-DE"/>
        </w:rPr>
        <w:t xml:space="preserve">Die Frist beginnt mit dem Schluss des Kalenderjahres, in dem die Unterlage entstanden oder eingegangen ist.</w:t>
      </w:r>
    </w:p>
    <w:p>
      <w:pPr>
        <w:pStyle w:val="BodyText"/>
      </w:pPr>
      <w:r>
        <w:rPr>
          <w:b/>
          <w:bCs/>
          <w:lang w:val="de-DE"/>
        </w:rPr>
        <w:t xml:space="preserve">Festlegung bei [Firma]:</w:t>
      </w:r>
      <w:r>
        <w:rPr>
          <w:lang w:val="de-DE"/>
        </w:rPr>
        <w:t xml:space="preserve"> </w:t>
      </w:r>
      <w:r>
        <w:rPr>
          <w:lang w:val="de-DE"/>
        </w:rPr>
        <w:t xml:space="preserve">[z. B. Alle geschäftlichen Postfächer werden 10 Jahre aufbewahrt. Begründung: Geschäftsbriefe, Rechnungen und per E-Mail versandte Abschlüsse lassen sich nicht zuverlässig trennen.]</w:t>
      </w:r>
    </w:p>
    <w:bookmarkEnd w:id="10"/>
    <w:bookmarkStart w:id="11" w:name="_66f86d149bccacd5368fd674faee9fa1bd96140"/>
    <w:p>
      <w:pPr>
        <w:pStyle w:val="Heading2"/>
      </w:pPr>
      <w:r>
        <w:rPr>
          <w:lang w:val="de-DE"/>
        </w:rPr>
        <w:t xml:space="preserve">1.3 Organisation und Zuständigkeiten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DE"/>
              </w:rPr>
              <w:t xml:space="preserve">Rolle</w:t>
            </w:r>
          </w:p>
        </w:tc>
        <w:tc>
          <w:tcPr/>
          <w:p>
            <w:pPr>
              <w:pStyle w:val="Compact"/>
            </w:pPr>
            <w:r>
              <w:rPr>
                <w:lang w:val="de-DE"/>
              </w:rPr>
              <w:t xml:space="preserve">Person</w:t>
            </w:r>
          </w:p>
        </w:tc>
        <w:tc>
          <w:tcPr/>
          <w:p>
            <w:pPr>
              <w:pStyle w:val="Compact"/>
            </w:pPr>
            <w:r>
              <w:rPr>
                <w:lang w:val="de-DE"/>
              </w:rPr>
              <w:t xml:space="preserve">Aufgaben</w:t>
            </w:r>
          </w:p>
        </w:tc>
      </w:tr>
      <w:tr>
        <w:tc>
          <w:tcPr/>
          <w:p>
            <w:pPr>
              <w:pStyle w:val="Compact"/>
            </w:pPr>
            <w:r>
              <w:rPr>
                <w:lang w:val="de-DE"/>
              </w:rPr>
              <w:t xml:space="preserve">Verantwortlich für das Verfahren</w:t>
            </w:r>
          </w:p>
        </w:tc>
        <w:tc>
          <w:tcPr/>
          <w:p>
            <w:pPr>
              <w:pStyle w:val="Compact"/>
            </w:pPr>
            <w:r>
              <w:rPr>
                <w:lang w:val="de-DE"/>
              </w:rPr>
              <w:t xml:space="preserve">[Name]</w:t>
            </w:r>
          </w:p>
        </w:tc>
        <w:tc>
          <w:tcPr/>
          <w:p>
            <w:pPr>
              <w:pStyle w:val="Compact"/>
            </w:pPr>
            <w:r>
              <w:rPr>
                <w:lang w:val="de-DE"/>
              </w:rPr>
              <w:t xml:space="preserve">Freigabe dieser Dokumentation, Festlegung der Fristen</w:t>
            </w:r>
          </w:p>
        </w:tc>
      </w:tr>
      <w:tr>
        <w:tc>
          <w:tcPr/>
          <w:p>
            <w:pPr>
              <w:pStyle w:val="Compact"/>
            </w:pPr>
            <w:r>
              <w:rPr>
                <w:lang w:val="de-DE"/>
              </w:rPr>
              <w:t xml:space="preserve">Administration EasyMailArchive</w:t>
            </w:r>
          </w:p>
        </w:tc>
        <w:tc>
          <w:tcPr/>
          <w:p>
            <w:pPr>
              <w:pStyle w:val="Compact"/>
            </w:pPr>
            <w:r>
              <w:rPr>
                <w:lang w:val="de-DE"/>
              </w:rPr>
              <w:t xml:space="preserve">[Name]</w:t>
            </w:r>
          </w:p>
        </w:tc>
        <w:tc>
          <w:tcPr/>
          <w:p>
            <w:pPr>
              <w:pStyle w:val="Compact"/>
            </w:pPr>
            <w:r>
              <w:rPr>
                <w:lang w:val="de-DE"/>
              </w:rPr>
              <w:t xml:space="preserve">Anbindung des Mailservers, Regeln, Benutzer</w:t>
            </w:r>
          </w:p>
        </w:tc>
      </w:tr>
      <w:tr>
        <w:tc>
          <w:tcPr/>
          <w:p>
            <w:pPr>
              <w:pStyle w:val="Compact"/>
            </w:pPr>
            <w:r>
              <w:rPr>
                <w:lang w:val="de-DE"/>
              </w:rPr>
              <w:t xml:space="preserve">Prüferzugang (Rolle Auditor)</w:t>
            </w:r>
          </w:p>
        </w:tc>
        <w:tc>
          <w:tcPr/>
          <w:p>
            <w:pPr>
              <w:pStyle w:val="Compact"/>
            </w:pPr>
            <w:r>
              <w:rPr>
                <w:lang w:val="de-DE"/>
              </w:rPr>
              <w:t xml:space="preserve">[Name, z. B. Steuerberater]</w:t>
            </w:r>
          </w:p>
        </w:tc>
        <w:tc>
          <w:tcPr/>
          <w:p>
            <w:pPr>
              <w:pStyle w:val="Compact"/>
            </w:pPr>
            <w:r>
              <w:rPr>
                <w:lang w:val="de-DE"/>
              </w:rPr>
              <w:t xml:space="preserve">lesender Zugriff für Prüfungen</w:t>
            </w:r>
          </w:p>
        </w:tc>
      </w:tr>
      <w:tr>
        <w:tc>
          <w:tcPr/>
          <w:p>
            <w:pPr>
              <w:pStyle w:val="Compact"/>
            </w:pPr>
            <w:r>
              <w:rPr>
                <w:lang w:val="de-DE"/>
              </w:rPr>
              <w:t xml:space="preserve">Datenschutz</w:t>
            </w:r>
          </w:p>
        </w:tc>
        <w:tc>
          <w:tcPr/>
          <w:p>
            <w:pPr>
              <w:pStyle w:val="Compact"/>
            </w:pPr>
            <w:r>
              <w:rPr>
                <w:lang w:val="de-DE"/>
              </w:rPr>
              <w:t xml:space="preserve">[Name]</w:t>
            </w:r>
          </w:p>
        </w:tc>
        <w:tc>
          <w:tcPr/>
          <w:p>
            <w:pPr>
              <w:pStyle w:val="Compact"/>
            </w:pPr>
            <w:r>
              <w:rPr>
                <w:lang w:val="de-DE"/>
              </w:rPr>
              <w:t xml:space="preserve">Ausschlussregeln, Auskunft und Löschung</w:t>
            </w:r>
          </w:p>
        </w:tc>
      </w:tr>
    </w:tbl>
    <w:bookmarkEnd w:id="11"/>
    <w:bookmarkStart w:id="12" w:name="_8ad6023323fbbe7a7e294e554054cd300d756ff"/>
    <w:p>
      <w:pPr>
        <w:pStyle w:val="Heading2"/>
      </w:pPr>
      <w:r>
        <w:rPr>
          <w:lang w:val="de-DE"/>
        </w:rPr>
        <w:t xml:space="preserve">1.4 Eingesetzte Systeme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DE"/>
              </w:rPr>
              <w:t xml:space="preserve">System</w:t>
            </w:r>
          </w:p>
        </w:tc>
        <w:tc>
          <w:tcPr/>
          <w:p>
            <w:pPr>
              <w:pStyle w:val="Compact"/>
            </w:pPr>
            <w:r>
              <w:rPr>
                <w:lang w:val="de-DE"/>
              </w:rPr>
              <w:t xml:space="preserve">Beschreibung</w:t>
            </w:r>
          </w:p>
        </w:tc>
      </w:tr>
      <w:tr>
        <w:tc>
          <w:tcPr/>
          <w:p>
            <w:pPr>
              <w:pStyle w:val="Compact"/>
            </w:pPr>
            <w:r>
              <w:rPr>
                <w:lang w:val="de-DE"/>
              </w:rPr>
              <w:t xml:space="preserve">Mailsystem</w:t>
            </w:r>
          </w:p>
        </w:tc>
        <w:tc>
          <w:tcPr/>
          <w:p>
            <w:pPr>
              <w:pStyle w:val="Compact"/>
            </w:pPr>
            <w:r>
              <w:rPr>
                <w:lang w:val="de-DE"/>
              </w:rPr>
              <w:t xml:space="preserve">[z. B. Microsoft 365 / Exchange Online, Tenant xyz]</w:t>
            </w:r>
          </w:p>
        </w:tc>
      </w:tr>
      <w:tr>
        <w:tc>
          <w:tcPr/>
          <w:p>
            <w:pPr>
              <w:pStyle w:val="Compact"/>
            </w:pPr>
            <w:r>
              <w:rPr>
                <w:lang w:val="de-DE"/>
              </w:rPr>
              <w:t xml:space="preserve">Archivsystem</w:t>
            </w:r>
          </w:p>
        </w:tc>
        <w:tc>
          <w:tcPr/>
          <w:p>
            <w:pPr>
              <w:pStyle w:val="Compact"/>
            </w:pPr>
            <w:r>
              <w:rPr>
                <w:lang w:val="de-DE"/>
              </w:rPr>
              <w:t xml:space="preserve">EasyMailArchive, Cloud-Dienst der Becker-Software, Martin Becker, 29351 Eldingen. Tarif: [Starter/Business/Enterprise]. Archiv-Adresse: [kennung].easymailarchive.com</w:t>
            </w:r>
          </w:p>
        </w:tc>
      </w:tr>
      <w:tr>
        <w:tc>
          <w:tcPr/>
          <w:p>
            <w:pPr>
              <w:pStyle w:val="Compact"/>
            </w:pPr>
            <w:r>
              <w:rPr>
                <w:lang w:val="de-DE"/>
              </w:rPr>
              <w:t xml:space="preserve">Auftragsverarbeitung</w:t>
            </w:r>
          </w:p>
        </w:tc>
        <w:tc>
          <w:tcPr/>
          <w:p>
            <w:pPr>
              <w:pStyle w:val="Compact"/>
            </w:pPr>
            <w:r>
              <w:rPr>
                <w:lang w:val="de-DE"/>
              </w:rPr>
              <w:t xml:space="preserve">Vertrag zur Auftragsverarbeitung (Art. 28 DSGVO) mit Becker-Software, abgeschlossen am [Datum]</w:t>
            </w:r>
          </w:p>
        </w:tc>
      </w:tr>
    </w:tbl>
    <w:bookmarkEnd w:id="12"/>
    <w:bookmarkEnd w:id="13"/>
    <w:bookmarkStart w:id="17" w:name="_anwenderdokumentation"/>
    <w:p>
      <w:pPr>
        <w:pStyle w:val="Heading1"/>
      </w:pPr>
      <w:r>
        <w:rPr>
          <w:lang w:val="de-DE"/>
        </w:rPr>
        <w:t xml:space="preserve">2. Anwenderdokumentation</w:t>
      </w:r>
    </w:p>
    <w:bookmarkStart w:id="14" w:name="_129fa38b9904c37223d7212c73a7700b60c66cb"/>
    <w:p>
      <w:pPr>
        <w:pStyle w:val="Heading2"/>
      </w:pPr>
      <w:r>
        <w:rPr>
          <w:lang w:val="de-DE"/>
        </w:rPr>
        <w:t xml:space="preserve">2.1 Welche E-Mails archiviert werden</w:t>
      </w:r>
    </w:p>
    <w:p>
      <w:pPr>
        <w:pStyle w:val="FirstParagraph"/>
      </w:pPr>
      <w:r>
        <w:rPr>
          <w:lang w:val="de-DE"/>
        </w:rPr>
        <w:t xml:space="preserve">[Firma] archiviert alle ein- und ausgehenden sowie internen E-Mails der folgenden Domains und Postfächer: [Liste]. Ausgenommen sind: [z. B. Postfach privat@…, Newsletter-Postfach]. Die Ausnahmen sind als Ausschlussregeln im Archiv hinterlegt.</w:t>
      </w:r>
    </w:p>
    <w:bookmarkEnd w:id="14"/>
    <w:bookmarkStart w:id="15" w:name="_8a400fccb30b1191dd15c69e54ade2282b5fad9"/>
    <w:p>
      <w:pPr>
        <w:pStyle w:val="Heading2"/>
      </w:pPr>
      <w:r>
        <w:rPr>
          <w:lang w:val="de-DE"/>
        </w:rPr>
        <w:t xml:space="preserve">2.2 Zugriff und Suche</w:t>
      </w:r>
    </w:p>
    <w:p>
      <w:pPr>
        <w:pStyle w:val="Compact"/>
        <w:numPr>
          <w:ilvl w:val="0"/>
          <w:numId w:val="1001"/>
        </w:numPr>
      </w:pPr>
      <w:r>
        <w:rPr>
          <w:lang w:val="de-DE"/>
        </w:rPr>
        <w:t xml:space="preserve">Mitarbeiter melden sich unter [kennung].easymailarchive.com an, mit [Passwort und Zwei-Faktor-Anmeldung / Single Sign-on über Microsoft Entra ID, Google oder einen anderen OIDC-Anbieter].</w:t>
      </w:r>
    </w:p>
    <w:p>
      <w:pPr>
        <w:pStyle w:val="Compact"/>
        <w:numPr>
          <w:ilvl w:val="0"/>
          <w:numId w:val="1001"/>
        </w:numPr>
      </w:pPr>
      <w:r>
        <w:rPr>
          <w:lang w:val="de-DE"/>
        </w:rPr>
        <w:t xml:space="preserve">Die Suche erfolgt im Volltext des Nachrichtentextes sowie nach Absender, Empfänger, Betreff, Zeitraum und dem Text von Textanhängen.</w:t>
      </w:r>
    </w:p>
    <w:p>
      <w:pPr>
        <w:pStyle w:val="Compact"/>
        <w:numPr>
          <w:ilvl w:val="0"/>
          <w:numId w:val="1001"/>
        </w:numPr>
      </w:pPr>
      <w:r>
        <w:rPr>
          <w:lang w:val="de-DE"/>
        </w:rPr>
        <w:t xml:space="preserve">Rollen:</w:t>
      </w:r>
      <w:r>
        <w:rPr>
          <w:lang w:val="de-DE"/>
        </w:rPr>
        <w:t xml:space="preserve"> </w:t>
      </w:r>
      <w:r>
        <w:rPr>
          <w:b/>
          <w:bCs/>
          <w:lang w:val="de-DE"/>
        </w:rPr>
        <w:t xml:space="preserve">Admin</w:t>
      </w:r>
      <w:r>
        <w:rPr>
          <w:lang w:val="de-DE"/>
        </w:rPr>
        <w:t xml:space="preserve"> </w:t>
      </w:r>
      <w:r>
        <w:rPr>
          <w:lang w:val="de-DE"/>
        </w:rPr>
        <w:t xml:space="preserve">(Verwaltung),</w:t>
      </w:r>
      <w:r>
        <w:rPr>
          <w:lang w:val="de-DE"/>
        </w:rPr>
        <w:t xml:space="preserve"> </w:t>
      </w:r>
      <w:r>
        <w:rPr>
          <w:b/>
          <w:bCs/>
          <w:lang w:val="de-DE"/>
        </w:rPr>
        <w:t xml:space="preserve">Auditor</w:t>
      </w:r>
      <w:r>
        <w:rPr>
          <w:lang w:val="de-DE"/>
        </w:rPr>
        <w:t xml:space="preserve"> </w:t>
      </w:r>
      <w:r>
        <w:rPr>
          <w:lang w:val="de-DE"/>
        </w:rPr>
        <w:t xml:space="preserve">(nur lesender Zugriff auf Verwaltung und Archiv, für Prüfer),</w:t>
      </w:r>
      <w:r>
        <w:rPr>
          <w:lang w:val="de-DE"/>
        </w:rPr>
        <w:t xml:space="preserve"> </w:t>
      </w:r>
      <w:r>
        <w:rPr>
          <w:b/>
          <w:bCs/>
          <w:lang w:val="de-DE"/>
        </w:rPr>
        <w:t xml:space="preserve">Benutzer</w:t>
      </w:r>
      <w:r>
        <w:rPr>
          <w:lang w:val="de-DE"/>
        </w:rPr>
        <w:t xml:space="preserve"> </w:t>
      </w:r>
      <w:r>
        <w:rPr>
          <w:lang w:val="de-DE"/>
        </w:rPr>
        <w:t xml:space="preserve">(Zugriff auf die eigenen E-Mails).</w:t>
      </w:r>
    </w:p>
    <w:bookmarkEnd w:id="15"/>
    <w:bookmarkStart w:id="16" w:name="_fef36726292129d287537d49bafb6c3af67972d"/>
    <w:p>
      <w:pPr>
        <w:pStyle w:val="Heading2"/>
      </w:pPr>
      <w:r>
        <w:rPr>
          <w:lang w:val="de-DE"/>
        </w:rPr>
        <w:t xml:space="preserve">2.3 Vorlage bei der Betriebsprüfung (Datenzugriff nach § 147 Abs. 6 AO)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DE"/>
              </w:rPr>
              <w:t xml:space="preserve">Zugriffsart</w:t>
            </w:r>
          </w:p>
        </w:tc>
        <w:tc>
          <w:tcPr/>
          <w:p>
            <w:pPr>
              <w:pStyle w:val="Compact"/>
            </w:pPr>
            <w:r>
              <w:rPr>
                <w:lang w:val="de-DE"/>
              </w:rPr>
              <w:t xml:space="preserve">Umsetzung bei [Firma]</w:t>
            </w:r>
          </w:p>
        </w:tc>
      </w:tr>
      <w:tr>
        <w:tc>
          <w:tcPr/>
          <w:p>
            <w:pPr>
              <w:pStyle w:val="Compact"/>
            </w:pPr>
            <w:r>
              <w:rPr>
                <w:lang w:val="de-DE"/>
              </w:rPr>
              <w:t xml:space="preserve">Unmittelbarer Zugriff (Z1)</w:t>
            </w:r>
          </w:p>
        </w:tc>
        <w:tc>
          <w:tcPr/>
          <w:p>
            <w:pPr>
              <w:pStyle w:val="Compact"/>
            </w:pPr>
            <w:r>
              <w:rPr>
                <w:lang w:val="de-DE"/>
              </w:rPr>
              <w:t xml:space="preserve">Der Prüfer erhält ein Konto mit der Rolle Auditor.</w:t>
            </w:r>
          </w:p>
        </w:tc>
      </w:tr>
      <w:tr>
        <w:tc>
          <w:tcPr/>
          <w:p>
            <w:pPr>
              <w:pStyle w:val="Compact"/>
            </w:pPr>
            <w:r>
              <w:rPr>
                <w:lang w:val="de-DE"/>
              </w:rPr>
              <w:t xml:space="preserve">Mittelbarer Zugriff (Z2)</w:t>
            </w:r>
          </w:p>
        </w:tc>
        <w:tc>
          <w:tcPr/>
          <w:p>
            <w:pPr>
              <w:pStyle w:val="Compact"/>
            </w:pPr>
            <w:r>
              <w:rPr>
                <w:lang w:val="de-DE"/>
              </w:rPr>
              <w:t xml:space="preserve">[Name] führt Suchen nach Vorgabe des Prüfers aus.</w:t>
            </w:r>
          </w:p>
        </w:tc>
      </w:tr>
      <w:tr>
        <w:tc>
          <w:tcPr/>
          <w:p>
            <w:pPr>
              <w:pStyle w:val="Compact"/>
            </w:pPr>
            <w:r>
              <w:rPr>
                <w:lang w:val="de-DE"/>
              </w:rPr>
              <w:t xml:space="preserve">Datenträgerüberlassung (Z3)</w:t>
            </w:r>
          </w:p>
        </w:tc>
        <w:tc>
          <w:tcPr/>
          <w:p>
            <w:pPr>
              <w:pStyle w:val="Compact"/>
            </w:pPr>
            <w:r>
              <w:rPr>
                <w:lang w:val="de-DE"/>
              </w:rPr>
              <w:t xml:space="preserve">Export der betroffenen E-Mails im Originalformat EML (einzeln oder gesammelt) oder als PDF mit SHA-256-Prüfsummen [ab Business: digital signiert].</w:t>
            </w:r>
          </w:p>
        </w:tc>
      </w:tr>
    </w:tbl>
    <w:bookmarkEnd w:id="16"/>
    <w:bookmarkEnd w:id="17"/>
    <w:bookmarkStart w:id="22" w:name="_38b6c98c7c100a1508b5713a692df5a49157bea"/>
    <w:p>
      <w:pPr>
        <w:pStyle w:val="Heading1"/>
      </w:pPr>
      <w:r>
        <w:rPr>
          <w:lang w:val="de-DE"/>
        </w:rPr>
        <w:t xml:space="preserve">3. Technische Systemdokumentation</w:t>
      </w:r>
    </w:p>
    <w:bookmarkStart w:id="18" w:name="_erfassung"/>
    <w:p>
      <w:pPr>
        <w:pStyle w:val="Heading2"/>
      </w:pPr>
      <w:r>
        <w:rPr>
          <w:lang w:val="de-DE"/>
        </w:rPr>
        <w:t xml:space="preserve">3.1 Erfassung</w:t>
      </w:r>
    </w:p>
    <w:p>
      <w:pPr>
        <w:pStyle w:val="Compact"/>
        <w:numPr>
          <w:ilvl w:val="0"/>
          <w:numId w:val="1002"/>
        </w:numPr>
      </w:pPr>
      <w:r>
        <w:rPr>
          <w:lang w:val="de-DE"/>
        </w:rPr>
        <w:t xml:space="preserve">Der Mailserver sendet jede E-Mail im Moment des Versands oder Empfangs per BCC- bzw. Journalregel an die Relay-Adresse [kennung]-[token]</w:t>
      </w:r>
      <w:r>
        <w:rPr>
          <w:lang w:val="de-DE"/>
        </w:rPr>
        <w:t xml:space="preserve">@smtp.easymailarchive.com</w:t>
      </w:r>
      <w:r>
        <w:rPr>
          <w:lang w:val="de-DE"/>
        </w:rPr>
        <w:t xml:space="preserve">.</w:t>
      </w:r>
    </w:p>
    <w:p>
      <w:pPr>
        <w:pStyle w:val="Compact"/>
        <w:numPr>
          <w:ilvl w:val="0"/>
          <w:numId w:val="1002"/>
        </w:numPr>
      </w:pPr>
      <w:r>
        <w:rPr>
          <w:lang w:val="de-DE"/>
        </w:rPr>
        <w:t xml:space="preserve">Eingerichtet in: [z. B. Exchange Admin Center, Transportregel „EasyMailArchive“, gilt für alle Nachrichten, angelegt am Datum].</w:t>
      </w:r>
    </w:p>
    <w:p>
      <w:pPr>
        <w:pStyle w:val="Compact"/>
        <w:numPr>
          <w:ilvl w:val="0"/>
          <w:numId w:val="1002"/>
        </w:numPr>
      </w:pPr>
      <w:r>
        <w:rPr>
          <w:lang w:val="de-DE"/>
        </w:rPr>
        <w:t xml:space="preserve">Alt-Bestand vor Inbetriebnahme: [importiert per IMAP / Microsoft 365 / Google Workspace am Datum, Umfang]. Bereits archivierte E-Mails werden beim Import erkannt und nicht doppelt gespeichert.</w:t>
      </w:r>
    </w:p>
    <w:bookmarkEnd w:id="18"/>
    <w:bookmarkStart w:id="19" w:name="_bfef8caf41b97955713c9d7b9851c6b604572a1"/>
    <w:p>
      <w:pPr>
        <w:pStyle w:val="Heading2"/>
      </w:pPr>
      <w:r>
        <w:rPr>
          <w:lang w:val="de-DE"/>
        </w:rPr>
        <w:t xml:space="preserve">3.2 Speicherung und Unveränderbarkeit</w:t>
      </w:r>
    </w:p>
    <w:p>
      <w:pPr>
        <w:pStyle w:val="Compact"/>
        <w:numPr>
          <w:ilvl w:val="0"/>
          <w:numId w:val="1003"/>
        </w:numPr>
      </w:pPr>
      <w:r>
        <w:rPr>
          <w:lang w:val="de-DE"/>
        </w:rPr>
        <w:t xml:space="preserve">Jede E-Mail wird im Originalformat mit allen Kopfzeilen und Anhängen gespeichert.</w:t>
      </w:r>
    </w:p>
    <w:p>
      <w:pPr>
        <w:pStyle w:val="Compact"/>
        <w:numPr>
          <w:ilvl w:val="0"/>
          <w:numId w:val="1003"/>
        </w:numPr>
      </w:pPr>
      <w:r>
        <w:rPr>
          <w:lang w:val="de-DE"/>
        </w:rPr>
        <w:t xml:space="preserve">Für jede Nachricht wird eine SHA-256-Prüfsumme abgelegt.</w:t>
      </w:r>
    </w:p>
    <w:p>
      <w:pPr>
        <w:pStyle w:val="Compact"/>
        <w:numPr>
          <w:ilvl w:val="0"/>
          <w:numId w:val="1003"/>
        </w:numPr>
      </w:pPr>
      <w:r>
        <w:rPr>
          <w:lang w:val="de-DE"/>
        </w:rPr>
        <w:t xml:space="preserve">Verschlüsselung im Ruhezustand mit AES-256 und einem eigenen Schlüssel pro Kunde. Übertragung über TLS.</w:t>
      </w:r>
    </w:p>
    <w:p>
      <w:pPr>
        <w:pStyle w:val="Compact"/>
        <w:numPr>
          <w:ilvl w:val="0"/>
          <w:numId w:val="1003"/>
        </w:numPr>
      </w:pPr>
      <w:r>
        <w:rPr>
          <w:lang w:val="de-DE"/>
        </w:rPr>
        <w:t xml:space="preserve">Jeder Kunde hat eine eigene Datenbank und einen eigenen Speicherbereich.</w:t>
      </w:r>
    </w:p>
    <w:p>
      <w:pPr>
        <w:pStyle w:val="Compact"/>
        <w:numPr>
          <w:ilvl w:val="0"/>
          <w:numId w:val="1003"/>
        </w:numPr>
      </w:pPr>
      <w:r>
        <w:rPr>
          <w:lang w:val="de-DE"/>
        </w:rPr>
        <w:t xml:space="preserve">Speicherort: Rechenzentrum der WITT AG in Deutschland.</w:t>
      </w:r>
    </w:p>
    <w:p>
      <w:pPr>
        <w:pStyle w:val="Compact"/>
        <w:numPr>
          <w:ilvl w:val="0"/>
          <w:numId w:val="1003"/>
        </w:numPr>
      </w:pPr>
      <w:r>
        <w:rPr>
          <w:lang w:val="de-DE"/>
        </w:rPr>
        <w:t xml:space="preserve">Eine Funktion zum Löschen oder Ändern einzelner E-Mails gibt es nicht, auch nicht für Administratoren.</w:t>
      </w:r>
    </w:p>
    <w:bookmarkEnd w:id="19"/>
    <w:bookmarkStart w:id="20" w:name="_ed834e37c4d116efc7c7b8d574917607002e3a9"/>
    <w:p>
      <w:pPr>
        <w:pStyle w:val="Heading2"/>
      </w:pPr>
      <w:r>
        <w:rPr>
          <w:lang w:val="de-DE"/>
        </w:rPr>
        <w:t xml:space="preserve">3.3 Aufbewahrung und Löschung</w:t>
      </w:r>
    </w:p>
    <w:p>
      <w:pPr>
        <w:pStyle w:val="Compact"/>
        <w:numPr>
          <w:ilvl w:val="0"/>
          <w:numId w:val="1004"/>
        </w:numPr>
      </w:pPr>
      <w:r>
        <w:rPr>
          <w:lang w:val="de-DE"/>
        </w:rPr>
        <w:t xml:space="preserve">Aufbewahrungsregeln gelten pro Organisation, Domain oder Postfach. Festgelegt bei [Firma]: [Regeln mit Frist].</w:t>
      </w:r>
    </w:p>
    <w:p>
      <w:pPr>
        <w:pStyle w:val="Compact"/>
        <w:numPr>
          <w:ilvl w:val="0"/>
          <w:numId w:val="1004"/>
        </w:numPr>
      </w:pPr>
      <w:r>
        <w:rPr>
          <w:lang w:val="de-DE"/>
        </w:rPr>
        <w:t xml:space="preserve">Fristen in ganzen Jahren laufen bis zum 31. Dezember des jeweiligen Jahres. Für importierte ältere E-Mails zählt das Datum der E-Mail.</w:t>
      </w:r>
    </w:p>
    <w:p>
      <w:pPr>
        <w:pStyle w:val="Compact"/>
        <w:numPr>
          <w:ilvl w:val="0"/>
          <w:numId w:val="1004"/>
        </w:numPr>
      </w:pPr>
      <w:r>
        <w:rPr>
          <w:lang w:val="de-DE"/>
        </w:rPr>
        <w:t xml:space="preserve">Nach Fristablauf löscht das System die E-Mails automatisch in einem täglichen Lauf. Jeder Lauf wird im Audit-Log protokolliert.</w:t>
      </w:r>
    </w:p>
    <w:p>
      <w:pPr>
        <w:pStyle w:val="Compact"/>
        <w:numPr>
          <w:ilvl w:val="0"/>
          <w:numId w:val="1004"/>
        </w:numPr>
      </w:pPr>
      <w:r>
        <w:rPr>
          <w:lang w:val="de-DE"/>
        </w:rPr>
        <w:t xml:space="preserve">Ein Legal Hold [ab Business] verhindert die Löschung einzelner E-Mails, z. B. bei laufenden Verfahren oder Prüfungen.</w:t>
      </w:r>
    </w:p>
    <w:bookmarkEnd w:id="20"/>
    <w:bookmarkStart w:id="21" w:name="_protokollierung"/>
    <w:p>
      <w:pPr>
        <w:pStyle w:val="Heading2"/>
      </w:pPr>
      <w:r>
        <w:rPr>
          <w:lang w:val="de-DE"/>
        </w:rPr>
        <w:t xml:space="preserve">3.4 Protokollierung</w:t>
      </w:r>
    </w:p>
    <w:p>
      <w:pPr>
        <w:pStyle w:val="FirstParagraph"/>
      </w:pPr>
      <w:r>
        <w:rPr>
          <w:lang w:val="de-DE"/>
        </w:rPr>
        <w:t xml:space="preserve">Jede Aktion im Archiv wird im Audit-Log protokolliert. Das Audit-Log lässt sich als CSV exportieren. [Firma] exportiert das Audit-Log [z. B. quartalsweise] und legt es unter [Ablageort] ab.</w:t>
      </w:r>
    </w:p>
    <w:bookmarkEnd w:id="21"/>
    <w:bookmarkEnd w:id="22"/>
    <w:bookmarkStart w:id="27" w:name="_betriebsdokumentation"/>
    <w:p>
      <w:pPr>
        <w:pStyle w:val="Heading1"/>
      </w:pPr>
      <w:r>
        <w:rPr>
          <w:lang w:val="de-DE"/>
        </w:rPr>
        <w:t xml:space="preserve">4. Betriebsdokumentation</w:t>
      </w:r>
    </w:p>
    <w:bookmarkStart w:id="23" w:name="_kontrollen"/>
    <w:p>
      <w:pPr>
        <w:pStyle w:val="Heading2"/>
      </w:pPr>
      <w:r>
        <w:rPr>
          <w:lang w:val="de-DE"/>
        </w:rPr>
        <w:t xml:space="preserve">4.1 Kontrollen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DE"/>
              </w:rPr>
              <w:t xml:space="preserve">Kontrolle</w:t>
            </w:r>
          </w:p>
        </w:tc>
        <w:tc>
          <w:tcPr/>
          <w:p>
            <w:pPr>
              <w:pStyle w:val="Compact"/>
            </w:pPr>
            <w:r>
              <w:rPr>
                <w:lang w:val="de-DE"/>
              </w:rPr>
              <w:t xml:space="preserve">Häufigkeit</w:t>
            </w:r>
          </w:p>
        </w:tc>
        <w:tc>
          <w:tcPr/>
          <w:p>
            <w:pPr>
              <w:pStyle w:val="Compact"/>
            </w:pPr>
            <w:r>
              <w:rPr>
                <w:lang w:val="de-DE"/>
              </w:rPr>
              <w:t xml:space="preserve">Zuständig</w:t>
            </w:r>
          </w:p>
        </w:tc>
      </w:tr>
      <w:tr>
        <w:tc>
          <w:tcPr/>
          <w:p>
            <w:pPr>
              <w:pStyle w:val="Compact"/>
            </w:pPr>
            <w:r>
              <w:rPr>
                <w:lang w:val="de-DE"/>
              </w:rPr>
              <w:t xml:space="preserve">Testmail ein- und ausgehend, Suche im Archiv</w:t>
            </w:r>
          </w:p>
        </w:tc>
        <w:tc>
          <w:tcPr/>
          <w:p>
            <w:pPr>
              <w:pStyle w:val="Compact"/>
            </w:pPr>
            <w:r>
              <w:rPr>
                <w:lang w:val="de-DE"/>
              </w:rPr>
              <w:t xml:space="preserve">[monatlich]</w:t>
            </w:r>
          </w:p>
        </w:tc>
        <w:tc>
          <w:tcPr/>
          <w:p>
            <w:pPr>
              <w:pStyle w:val="Compact"/>
            </w:pPr>
            <w:r>
              <w:rPr>
                <w:lang w:val="de-DE"/>
              </w:rPr>
              <w:t xml:space="preserve">[Name]</w:t>
            </w:r>
          </w:p>
        </w:tc>
      </w:tr>
      <w:tr>
        <w:tc>
          <w:tcPr/>
          <w:p>
            <w:pPr>
              <w:pStyle w:val="Compact"/>
            </w:pPr>
            <w:r>
              <w:rPr>
                <w:lang w:val="de-DE"/>
              </w:rPr>
              <w:t xml:space="preserve">Prüfung, dass die BCC- bzw. Journalregel aktiv ist</w:t>
            </w:r>
          </w:p>
        </w:tc>
        <w:tc>
          <w:tcPr/>
          <w:p>
            <w:pPr>
              <w:pStyle w:val="Compact"/>
            </w:pPr>
            <w:r>
              <w:rPr>
                <w:lang w:val="de-DE"/>
              </w:rPr>
              <w:t xml:space="preserve">[monatlich]</w:t>
            </w:r>
          </w:p>
        </w:tc>
        <w:tc>
          <w:tcPr/>
          <w:p>
            <w:pPr>
              <w:pStyle w:val="Compact"/>
            </w:pPr>
            <w:r>
              <w:rPr>
                <w:lang w:val="de-DE"/>
              </w:rPr>
              <w:t xml:space="preserve">[Name]</w:t>
            </w:r>
          </w:p>
        </w:tc>
      </w:tr>
      <w:tr>
        <w:tc>
          <w:tcPr/>
          <w:p>
            <w:pPr>
              <w:pStyle w:val="Compact"/>
            </w:pPr>
            <w:r>
              <w:rPr>
                <w:lang w:val="de-DE"/>
              </w:rPr>
              <w:t xml:space="preserve">Prüfung der Aufbewahrungsregeln und Ausschlüsse</w:t>
            </w:r>
          </w:p>
        </w:tc>
        <w:tc>
          <w:tcPr/>
          <w:p>
            <w:pPr>
              <w:pStyle w:val="Compact"/>
            </w:pPr>
            <w:r>
              <w:rPr>
                <w:lang w:val="de-DE"/>
              </w:rPr>
              <w:t xml:space="preserve">[jährlich]</w:t>
            </w:r>
          </w:p>
        </w:tc>
        <w:tc>
          <w:tcPr/>
          <w:p>
            <w:pPr>
              <w:pStyle w:val="Compact"/>
            </w:pPr>
            <w:r>
              <w:rPr>
                <w:lang w:val="de-DE"/>
              </w:rPr>
              <w:t xml:space="preserve">[Name]</w:t>
            </w:r>
          </w:p>
        </w:tc>
      </w:tr>
      <w:tr>
        <w:tc>
          <w:tcPr/>
          <w:p>
            <w:pPr>
              <w:pStyle w:val="Compact"/>
            </w:pPr>
            <w:r>
              <w:rPr>
                <w:lang w:val="de-DE"/>
              </w:rPr>
              <w:t xml:space="preserve">Export und Ablage des Audit-Logs</w:t>
            </w:r>
          </w:p>
        </w:tc>
        <w:tc>
          <w:tcPr/>
          <w:p>
            <w:pPr>
              <w:pStyle w:val="Compact"/>
            </w:pPr>
            <w:r>
              <w:rPr>
                <w:lang w:val="de-DE"/>
              </w:rPr>
              <w:t xml:space="preserve">[quartalsweise]</w:t>
            </w:r>
          </w:p>
        </w:tc>
        <w:tc>
          <w:tcPr/>
          <w:p>
            <w:pPr>
              <w:pStyle w:val="Compact"/>
            </w:pPr>
            <w:r>
              <w:rPr>
                <w:lang w:val="de-DE"/>
              </w:rPr>
              <w:t xml:space="preserve">[Name]</w:t>
            </w:r>
          </w:p>
        </w:tc>
      </w:tr>
    </w:tbl>
    <w:bookmarkEnd w:id="23"/>
    <w:bookmarkStart w:id="24" w:name="_datensicherung"/>
    <w:p>
      <w:pPr>
        <w:pStyle w:val="Heading2"/>
      </w:pPr>
      <w:r>
        <w:rPr>
          <w:lang w:val="de-DE"/>
        </w:rPr>
        <w:t xml:space="preserve">4.2 Datensicherung</w:t>
      </w:r>
    </w:p>
    <w:p>
      <w:pPr>
        <w:pStyle w:val="FirstParagraph"/>
      </w:pPr>
      <w:r>
        <w:rPr>
          <w:lang w:val="de-DE"/>
        </w:rPr>
        <w:t xml:space="preserve">Datensicherung und Wiederherstellung der Archivdaten übernimmt der Anbieter. Die technischen und organisatorischen Maßnahmen sind im Vertrag zur Auftragsverarbeitung beschrieben (easymailarchive.de/avv).</w:t>
      </w:r>
    </w:p>
    <w:bookmarkEnd w:id="24"/>
    <w:bookmarkStart w:id="25" w:name="_efed1055f3f7ee10f3b35ce14a6322bc2eab6a5"/>
    <w:p>
      <w:pPr>
        <w:pStyle w:val="Heading2"/>
      </w:pPr>
      <w:r>
        <w:rPr>
          <w:lang w:val="de-DE"/>
        </w:rPr>
        <w:t xml:space="preserve">4.3 Änderungen am Verfahren</w:t>
      </w:r>
    </w:p>
    <w:p>
      <w:pPr>
        <w:pStyle w:val="FirstParagraph"/>
      </w:pPr>
      <w:r>
        <w:rPr>
          <w:lang w:val="de-DE"/>
        </w:rPr>
        <w:t xml:space="preserve">Änderungen an Mailsystem, Regeln oder Zuständigkeiten werden hier mit Datum dokumentiert: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de-DE"/>
              </w:rPr>
              <w:t xml:space="preserve">Datum</w:t>
            </w:r>
          </w:p>
        </w:tc>
        <w:tc>
          <w:tcPr/>
          <w:p>
            <w:pPr>
              <w:pStyle w:val="Compact"/>
            </w:pPr>
            <w:r>
              <w:rPr>
                <w:lang w:val="de-DE"/>
              </w:rPr>
              <w:t xml:space="preserve">Änderung</w:t>
            </w:r>
          </w:p>
        </w:tc>
        <w:tc>
          <w:tcPr/>
          <w:p>
            <w:pPr>
              <w:pStyle w:val="Compact"/>
            </w:pPr>
            <w:r>
              <w:rPr>
                <w:lang w:val="de-DE"/>
              </w:rPr>
              <w:t xml:space="preserve">Freigabe</w:t>
            </w:r>
          </w:p>
        </w:tc>
      </w:tr>
      <w:tr>
        <w:tc>
          <w:tcPr/>
          <w:p>
            <w:pPr>
              <w:pStyle w:val="Compact"/>
            </w:pPr>
            <w:r>
              <w:rPr>
                <w:lang w:val="de-DE"/>
              </w:rPr>
              <w:t xml:space="preserve">[Datum]</w:t>
            </w:r>
          </w:p>
        </w:tc>
        <w:tc>
          <w:tcPr/>
          <w:p>
            <w:pPr>
              <w:pStyle w:val="Compact"/>
            </w:pPr>
            <w:r>
              <w:rPr>
                <w:lang w:val="de-DE"/>
              </w:rPr>
              <w:t xml:space="preserve">Inbetriebnahme EasyMailArchive</w:t>
            </w:r>
          </w:p>
        </w:tc>
        <w:tc>
          <w:tcPr/>
          <w:p>
            <w:pPr>
              <w:pStyle w:val="Compact"/>
            </w:pPr>
            <w:r>
              <w:rPr>
                <w:lang w:val="de-DE"/>
              </w:rPr>
              <w:t xml:space="preserve">[Name]</w:t>
            </w:r>
          </w:p>
        </w:tc>
      </w:tr>
    </w:tbl>
    <w:bookmarkEnd w:id="25"/>
    <w:bookmarkStart w:id="26" w:name="_freigabe"/>
    <w:p>
      <w:pPr>
        <w:pStyle w:val="Heading2"/>
      </w:pPr>
      <w:r>
        <w:rPr>
          <w:lang w:val="de-DE"/>
        </w:rPr>
        <w:t xml:space="preserve">4.4 Freigabe</w:t>
      </w:r>
    </w:p>
    <w:p>
      <w:pPr>
        <w:pStyle w:val="FirstParagraph"/>
      </w:pPr>
      <w:r>
        <w:rPr>
          <w:lang w:val="de-DE"/>
        </w:rPr>
        <w:t xml:space="preserve">Diese Verfahrensdokumentation wurde geprüft und freigegeben.</w:t>
      </w:r>
    </w:p>
    <w:p>
      <w:pPr>
        <w:pStyle w:val="BodyText"/>
      </w:pPr>
      <w:r>
        <w:rPr>
          <w:lang w:val="de-DE"/>
        </w:rPr>
        <w:t xml:space="preserve">[Ort, Datum] [Name, Funktion, Unterschrift]</w:t>
      </w:r>
    </w:p>
    <w:p>
      <w:r>
        <w:pict>
          <v:rect style="width:0;height:1.5pt" o:hralign="center" o:hrstd="t" o:hr="t"/>
        </w:pict>
      </w:r>
    </w:p>
    <w:p>
      <w:pPr>
        <w:pStyle w:val="FirstParagraph"/>
      </w:pPr>
      <w:r>
        <w:rPr>
          <w:i/>
          <w:iCs/>
          <w:lang w:val="de-DE"/>
        </w:rPr>
        <w:t xml:space="preserve">Diese Vorlage gibt die Rechtslage allgemein wieder und ist keine Rechts- oder Steuerberatung. Für die Vollständigkeit der Verfahrensdokumentation ist das Unternehmen verantwortlich. Eine amtliche GoBD-Zertifizierung für Software gibt es nicht. Stand der Produktangaben: Oktober 2026.</w:t>
      </w:r>
    </w:p>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Verfahrensdokumentation E-Mail-Archivierung</dc:title>
  <dc:creator/>
  <dc:language>de-DE</dc:language>
  <cp:keywords/>
  <dcterms:created xsi:type="dcterms:W3CDTF">2026-10-17T20:35:38Z</dcterms:created>
  <dcterms:modified xsi:type="dcterms:W3CDTF">2026-10-17T20:35:38Z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Vorlage für Unternehmen, die EasyMailArchive nutzen</vt:lpwstr>
  </property>
</Properties>
</file>